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Изображение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</w:pPr>
      <w:r/>
      <w:r/>
    </w:p>
    <w:p>
      <w:pPr>
        <w:ind w:left="-1701" w:right="0" w:firstLine="0"/>
        <w:jc w:val="both"/>
        <w:spacing w:after="0" w:line="240" w:lineRule="auto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Изображение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 2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дополнений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«Здравоо</w:t>
      </w:r>
      <w:r>
        <w:rPr>
          <w:rFonts w:ascii="Times New Roman" w:hAnsi="Times New Roman"/>
          <w:sz w:val="28"/>
          <w:szCs w:val="28"/>
        </w:rPr>
        <w:t xml:space="preserve">хранение в Еврейской автономной области» на 2022 – 2025 годы, 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</w:t>
      </w:r>
      <w:r>
        <w:rPr>
          <w:rFonts w:ascii="Times New Roman" w:hAnsi="Times New Roman" w:cs="Times New Roman"/>
          <w:sz w:val="28"/>
          <w:szCs w:val="28"/>
        </w:rPr>
        <w:t xml:space="preserve">автономной области» на 2022 – 2025 годы»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1843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843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1. Внести в государственную программу Еврейской автономной области «Здравоохранение в Еврейской автономной области» на                                   2022 – 2025 годы,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годы», следующие изменения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дополнения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2"/>
        <w:ind w:firstLine="709"/>
        <w:jc w:val="both"/>
        <w:widowControl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1.1. Строку «Ресурсное обеспечение реализации государственной программы за счет средств областного и федерального бюджетов на ре</w:t>
      </w:r>
      <w:r>
        <w:rPr>
          <w:rFonts w:ascii="Times New Roman" w:hAnsi="Times New Roman"/>
          <w:color w:val="auto"/>
          <w:sz w:val="28"/>
          <w:szCs w:val="28"/>
        </w:rPr>
        <w:t xml:space="preserve">ализацию целей государственной программы, в том числе по годам» раздела 1 «Паспорт государственной программы Еврейской автономной области «Здравоохранение в Еврейской автономной области» на 2022 –                   2025 годы» изложить в следующей редакции:</w:t>
      </w:r>
      <w:r>
        <w:rPr>
          <w:color w:val="auto"/>
        </w:rPr>
      </w:r>
      <w:r>
        <w:rPr>
          <w:color w:val="auto"/>
        </w:rPr>
      </w:r>
    </w:p>
    <w:tbl>
      <w:tblPr>
        <w:tblStyle w:val="72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68"/>
        <w:gridCol w:w="7149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932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«Ресурсное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программы, в том числе по годам</w:t>
            </w:r>
            <w:r>
              <w:rPr>
                <w:rFonts w:hint="default" w:ascii="Times New Roman" w:hAnsi="Times New Roman" w:cs="Times New Roman"/>
                <w:color w:val="auto"/>
              </w:rPr>
            </w:r>
            <w:r>
              <w:rPr>
                <w:rFonts w:hint="default" w:ascii="Times New Roman" w:hAnsi="Times New Roman" w:cs="Times New Roman"/>
                <w:color w:val="auto"/>
              </w:rPr>
            </w:r>
          </w:p>
        </w:tc>
        <w:tc>
          <w:tcPr>
            <w:tcW w:w="7149" w:type="dxa"/>
            <w:textDirection w:val="lrTb"/>
            <w:noWrap w:val="false"/>
          </w:tcPr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Общий объем финансирования программы в 2022 – 2025 годах состав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ит 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921090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30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тыс. рублей, в том числе: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8569082,27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- средства федерального бюджета – 2352008,03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тыс. рублей.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Источник финансирования – средства областного бюджета,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 том числе: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2022 год – 2403227,40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2023 год – 2589986,57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2024 год – 1494124,50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2025 год – 2081743,80 тыс. рублей. 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Источник финансирования – средства федерального бюджета, в том числе: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2022 год – 1022665,30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2023 год – 504048,13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2024 год – 406962,40 тыс. рублей;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2025 год – 418332,20 тыс. рублей».</w:t>
            </w:r>
            <w:r>
              <w:rPr>
                <w:rFonts w:hint="default" w:ascii="Times New Roman" w:hAnsi="Times New Roman" w:cs="Times New Roman"/>
                <w:color w:val="auto"/>
              </w:rPr>
            </w:r>
            <w:r>
              <w:rPr>
                <w:rFonts w:hint="default" w:ascii="Times New Roman" w:hAnsi="Times New Roman" w:cs="Times New Roman"/>
                <w:color w:val="auto"/>
              </w:rPr>
            </w:r>
          </w:p>
        </w:tc>
      </w:tr>
    </w:tbl>
    <w:p>
      <w:pPr>
        <w:pStyle w:val="932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таблице 2 «Мероприятия государственной программы» раздела 7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 программных (подпрограммных) мероприятий»: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ind w:firstLine="720"/>
        <w:jc w:val="both"/>
        <w:outlineLvl w:val="5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 подразделе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«Основное мероприятие 6 «Развитие иных специ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ализирован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видов медицинской помощи взрослому населению» раздела 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2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4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1.2.6.14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4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4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2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32"/>
        <w:contextualSpacing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2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contextualSpacing/>
        <w:ind w:firstLine="709"/>
        <w:jc w:val="both"/>
        <w:widowControl/>
      </w:pPr>
      <w:r/>
      <w:r/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51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2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6" w:h="16838" w:orient="portrait"/>
          <w:pgMar w:top="1134" w:right="850" w:bottom="850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7"/>
        <w:tblW w:w="1528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2827"/>
        <w:gridCol w:w="2835"/>
        <w:gridCol w:w="850"/>
        <w:gridCol w:w="2778"/>
        <w:gridCol w:w="2764"/>
        <w:gridCol w:w="2315"/>
      </w:tblGrid>
      <w:tr>
        <w:trPr>
          <w:trHeight w:val="322"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«1.2.6.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магнитно-резонансного томографа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Optima MR360 с заменой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катушки для исследования тела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«Онкологический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магнитно-резонансного томографа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Optima MR360 с заменой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катушки для исследования тела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Ненадлежащее исполнение функций учреждением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32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4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1.2.6.15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7"/>
        <w:tblW w:w="1528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2827"/>
        <w:gridCol w:w="2835"/>
        <w:gridCol w:w="850"/>
        <w:gridCol w:w="2778"/>
        <w:gridCol w:w="2764"/>
        <w:gridCol w:w="2315"/>
      </w:tblGrid>
      <w:tr>
        <w:trPr>
          <w:trHeight w:val="322"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1.2.6.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и восстановление асфальтобетонного покрытия территории ОГБУЗ «Октябрьская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2"/>
              <w:contextualSpacing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32"/>
              <w:contextualSpacing/>
              <w:jc w:val="center"/>
              <w:widowControl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Ремонт и восстановление асфальтобетонного покрытия территории - 1 учреждение (ОГБУЗ «Октябрьская центральная районная больница»)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смертности от несвоевременного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932"/>
              <w:widowControl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Смертность населения от всех причин»;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932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outlineLvl w:val="5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подраздел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Основное мероприятие 1 «Совершенствование системы лекарственного обеспечения в амбулаторных условиях»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  <w:t xml:space="preserve">раздела 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  <w:t xml:space="preserve">Задача 6 «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Совершенствование системы лекарственного обеспечения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  <w:t xml:space="preserve">дополнить пунктами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W w:w="15296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4"/>
        <w:gridCol w:w="9"/>
        <w:gridCol w:w="2826"/>
        <w:gridCol w:w="2835"/>
        <w:gridCol w:w="850"/>
        <w:gridCol w:w="2778"/>
        <w:gridCol w:w="2764"/>
        <w:gridCol w:w="23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 w:themeColor="text1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«1.6.1.6</w:t>
            </w:r>
            <w:r>
              <w:rPr>
                <w:rFonts w:ascii="Times New Roman" w:hAnsi="Times New Roman" w:cs="Times New Roman"/>
                <w:color w:val="auto" w:themeColor="text1"/>
              </w:rPr>
            </w:r>
            <w:r>
              <w:rPr>
                <w:rFonts w:ascii="Times New Roman" w:hAnsi="Times New Roman" w:cs="Times New Roman"/>
                <w:color w:val="auto" w:themeColor="text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Обеспечение детей с сахарным диабетом 1 типа в возрасте от 2 до 4 лет системами непрерывного мониторинга глюкозы</w:t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 w:themeColor="text1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 w:themeColor="text1"/>
              </w:rPr>
            </w:r>
            <w:r>
              <w:rPr>
                <w:rFonts w:ascii="Times New Roman" w:hAnsi="Times New Roman" w:cs="Times New Roman"/>
                <w:color w:val="auto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 w:themeColor="text1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auto" w:themeColor="text1"/>
              </w:rPr>
            </w:r>
            <w:r>
              <w:rPr>
                <w:rFonts w:ascii="Times New Roman" w:hAnsi="Times New Roman" w:cs="Times New Roman"/>
                <w:color w:val="auto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 детей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32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 сахарным диабетом 1 типа в возрасте от 2 до 4 лет системами непрерывного мониторинга глюкозы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auto" w:themeColor="text1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числа больных сахарным диабетом</w:t>
            </w:r>
            <w:r>
              <w:rPr>
                <w:rFonts w:ascii="Times New Roman" w:hAnsi="Times New Roman" w:cs="Times New Roman"/>
                <w:color w:val="auto" w:themeColor="text1"/>
              </w:rPr>
            </w:r>
            <w:r>
              <w:rPr>
                <w:rFonts w:ascii="Times New Roman" w:hAnsi="Times New Roman" w:cs="Times New Roman"/>
                <w:color w:val="auto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vAlign w:val="top"/>
            <w:textDirection w:val="lrTb"/>
            <w:noWrap w:val="false"/>
          </w:tcPr>
          <w:p>
            <w:pPr>
              <w:pStyle w:val="932"/>
              <w:contextualSpacing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Удовлетворенность населения медицинской помощью,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932"/>
              <w:contextualSpacing/>
              <w:widowControl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смертность детей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32"/>
              <w:contextualSpacing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 0 до 17 лет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1.6.1.7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Обеспечение детей с сахарным диабетом 1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8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pStyle w:val="932"/>
              <w:widowControl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 сахарным диабетом 1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Увеличение числа больных сахарным диабетом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2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vAlign w:val="top"/>
            <w:vMerge w:val="restart"/>
            <w:textDirection w:val="lrTb"/>
            <w:noWrap w:val="false"/>
          </w:tcPr>
          <w:p>
            <w:pPr>
              <w:pStyle w:val="932"/>
              <w:contextualSpacing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Удовлетворенность населения медицинской помощью,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32"/>
              <w:contextualSpacing/>
              <w:widowControl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смертность детей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  <w:p>
            <w:pPr>
              <w:pStyle w:val="932"/>
              <w:contextualSpacing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 0 до 17 лет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932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подраздел «Основное мероприятие 1 «Модернизация первичного звена здрав</w:t>
      </w:r>
      <w:r>
        <w:rPr>
          <w:rFonts w:ascii="Times New Roman" w:hAnsi="Times New Roman" w:cs="Times New Roman"/>
          <w:sz w:val="28"/>
          <w:szCs w:val="28"/>
        </w:rPr>
        <w:t xml:space="preserve">оохранения в Еврейской автономной области» раздела «Задача 13 «Региональная программа Еврейской автономной области «Модернизация первичного звена здравоохранения в Еврейской автономной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1.13.1.15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27"/>
        <w:tblW w:w="1528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2827"/>
        <w:gridCol w:w="2835"/>
        <w:gridCol w:w="850"/>
        <w:gridCol w:w="2778"/>
        <w:gridCol w:w="2764"/>
        <w:gridCol w:w="2315"/>
      </w:tblGrid>
      <w:tr>
        <w:trPr>
          <w:trHeight w:val="322"/>
        </w:trPr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«1.13.1.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ОГБУ «Служба заказчика (застройщика) в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2023 - 2024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78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Выполнение мероприятий, направленных на модернизацию первичного звена здравоохранения Еврейской автономной области: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 капитальный ремонт ОГБУЗ «Николаевская районная больница»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764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смертности от несвоевременного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Удовлетворенность населения медицинской помощью»;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10 «Ресурсное обеспечение реализации государственной программы «Здравоохранение в Еврейской автономной области» на 2022 – 2025 годы»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0" w:left="850" w:header="692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10. Ресурсное обеспечение реализации государственной программы «Здравоохранение в Еврейской автономной области»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2022 – 2025 годы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Общий объем финансирования программы в 2022 - 2025 годах составит 10921090,30 тыс. рублей, в том числе: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159" w:beforeAutospacing="0" w:after="0" w:line="240" w:lineRule="auto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средства областного бюджета - 8569082,27 тыс.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159" w:beforeAutospacing="0" w:after="0" w:line="240" w:lineRule="auto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средства федерального бюджета - 2352008,03 тыс.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spacing w:before="159" w:beforeAutospacing="0" w:after="0" w:line="240" w:lineRule="auto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Источник финансирования – средства областного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федерального бюджета.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159" w:beforeAutospacing="0" w:after="0" w:line="240" w:lineRule="auto"/>
        <w:widowControl w:val="off"/>
        <w:tabs>
          <w:tab w:val="left" w:pos="851" w:leader="none"/>
          <w:tab w:val="left" w:pos="1276" w:leader="none"/>
        </w:tabs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right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Таблица 4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tabs>
          <w:tab w:val="left" w:pos="851" w:leader="none"/>
          <w:tab w:val="left" w:pos="1276" w:leader="none"/>
        </w:tabs>
      </w:pPr>
      <w:r>
        <w:rPr>
          <w:rFonts w:ascii="Times New Roman" w:hAnsi="Times New Roman"/>
          <w:sz w:val="28"/>
          <w:szCs w:val="28"/>
          <w:highlight w:val="none"/>
        </w:rPr>
        <w:t xml:space="preserve">Ресурсное обеспечение реализации государственной программы</w:t>
      </w:r>
      <w:r/>
    </w:p>
    <w:p>
      <w:pPr>
        <w:ind w:firstLine="709"/>
        <w:jc w:val="center"/>
        <w:spacing w:after="0" w:line="240" w:lineRule="auto"/>
        <w:tabs>
          <w:tab w:val="left" w:pos="851" w:leader="none"/>
          <w:tab w:val="left" w:pos="1276" w:leader="none"/>
        </w:tabs>
      </w:pPr>
      <w:r>
        <w:rPr>
          <w:rFonts w:ascii="Times New Roman" w:hAnsi="Times New Roman"/>
          <w:sz w:val="28"/>
          <w:szCs w:val="28"/>
          <w:highlight w:val="none"/>
        </w:rPr>
        <w:t xml:space="preserve">«Здравоохранение в Еврейской автономной области»</w:t>
      </w:r>
      <w:r/>
    </w:p>
    <w:p>
      <w:pPr>
        <w:ind w:firstLine="709"/>
        <w:jc w:val="center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2022 – 2025 годы за счет средств областного бюджета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850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975"/>
        <w:gridCol w:w="2046"/>
        <w:gridCol w:w="771"/>
        <w:gridCol w:w="709"/>
        <w:gridCol w:w="1130"/>
        <w:gridCol w:w="1338"/>
        <w:gridCol w:w="1390"/>
        <w:gridCol w:w="1276"/>
        <w:gridCol w:w="1276"/>
        <w:gridCol w:w="1054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РзПр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continue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«Здравоохранение в Еврейской автономной области» на 2022 – 2025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8596082,27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2403227,40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2589986,57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1494124,50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2081743,80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 «Профилактика заболеваний и формирование здорового образа жизни»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52643,67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13044,87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19162,00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10218,40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10218,40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системы медицинской профилактики неинфекционных заболеваний и формирования здоровог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51854,35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12775,85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18988,50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9553,70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2849,50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3091,50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1300185310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516,50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9455,50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1300185310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266,14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6205,14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профилактике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1300185310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«Николаевская районная больница», ОГБУЗ «Смидовичская районная больница»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«Областная больница», ОГБУЗ «Николаевская районная больница», ОГБУЗ «Смидовичская районная больница»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1784,15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470,85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597,00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1029,00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250,50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356,40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454,95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133,35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146,20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300,20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87,00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94,40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789,02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269,02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130N255860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789,02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268,72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(исполнение обязательств 2021 года)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130N2V5860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2007524,42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631124,15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648500,27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364065,60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высокотехнологичной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1300206230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 туберкулезом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1300300000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578922,33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178637,76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178829,97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1300300590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548665,80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167082,04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государственными учреждениями текущего ремонта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1300322130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установка медицинского, лабораторного и технологического оборудования и других основных средств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1300322150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1300348530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29481,80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9246,00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 с психическими расстройствами и наркологическими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1300400000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825948,25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Психиатрическая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Психиатрическая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1300400590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825948,25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1300500000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25503,50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1300500590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25503,50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службы крови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1300600000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201002,60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переливания крови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переливания крови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1300600590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201002,60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иных специализированных видов медицинской помощи взрослому населению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332064,36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104769,46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116908,90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Кожно-венерологический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Кожно-венерологический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0901 0902 0903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60105,79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18180,09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19117,70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(выполнение работ)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– проведение судебно-медицинских экспертиз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163397,40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47563,00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53646,80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3790,49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1229,59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1129,90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61036,50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18011,40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19065,70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амбулатории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амбулатории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прошлых лет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 проведение капитального ремонта амбулатории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лабораторий медицинских организаций, осуществляющих диагностику инфекционных болезней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13007R4230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ремонт и восстановление асфальтового покрытия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заключенному в 2021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Замена оконных блоков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областного бюджета (исполнение обязательств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2021 года)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13007V8430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томографа рентгеновского компьютерного Aguilion Prime с установкой источника бесперебойного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1300722210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1.2.6.12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Ремонт магнитно-резонансного томографа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Optima MR360 с заменой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катушки для исследования тела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1300722210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3 200,00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и восстановление асфальтобетонного покрытия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1300717054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Информационная инфраструктура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130D200000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1.2.7.1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созданию и организации работы единой службы оперативной помощи гражданам по номеру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130D253540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 прочими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1302100000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ВИЧ-инфекции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гепатитов B и C, в том числе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привлечением к реализации указанных мероприятий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13021R2020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Закупка диагно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13021R2020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597,84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174,72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йчивостью возбудителя, 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перечнем, утвержденным Министерством здравоохранения Российской Федерации, а также медицинских изделий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соответствии со стандартом оснащения, предусмотренным порядком оказания медицинской помощи больным туберкулезом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13021R2020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994,0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системы оказания первичной медико-санитарной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33190,57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22842,57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3291,90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3444,00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закупки авиационных работ в целях оказания медицинской помощи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130N155540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24808,30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14460,30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3291,90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3444,00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услуг медицинского сопровождения больных,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новорожденных, сторонним организациям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Заработная плата и страховые взносы бригад сопровождения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осуществляющих сопровождение больных, в том числе новорожденных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130N1V5540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контракту, заключенному в 2021 году, за поставленные передвижные медицинские комплексы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130N117054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7299,97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7299,97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онкологическими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130N300000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1.2.10.1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и оснащение референс-ц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130N351900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130N251920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Охрана здоровья матери и ребенка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312317,09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93584,30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98323,09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60197,10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60212,60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оказания доступной и качественной медицинской помощи женщинам и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1300800000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296977,93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Дом ребенка специализированный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Дом ребенка специализированный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1300800590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296977,93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и развитие пренатальной (дородовой) диагностики нарушения развития ребенка и неонатального скрининга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14971,36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4956,36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2849,70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2865,20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1300970720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13009R3850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1098,40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 счет средств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13009V3850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Повышение рождаемости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1300970710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Укрепление репродуктивного здоровья, сокращение числа абортов, применение вспомогательных репродуктивных технологий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1300970710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6147,72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2380,48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комплекса мероприятий по развитию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6147,72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2380,48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0707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1301070650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5591,05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1823,81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с учетом подготовки технического задания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1301022250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технического задания на выполнение работ "Разработка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1301022250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природных ресурсов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002 024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1301022250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системы здравоохранения высококвалифицированными кадрами, повышение престижа медицинских специальностей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282774,41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80446,33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96492,28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52922,40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52913,40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Организация кадрового обеспечения областных государственных учреждений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1301100000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216788,88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61283,70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80193,58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37711,40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37600,20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0704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0705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1301100590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201282,04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56422,83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74567,61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1301109270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14660,80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Социальная поддержка педагогических работников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1301186280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846,04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384,87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Стимулирование привлечения и закрепления медицинских работников, имеющих высшее и среднее медицинское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1301200000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дшерам,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также акушеркам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медицинским сестрам фельдшерских и фельдшерско-акушерских пунктов), прибывшим (переехавшим) на работу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сельские населенные пункты, либо рабочие поселки, либо поселки городского типа, либо города с населением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50 тысяч человек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13012R1380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служебного жилья для предоставления медицинским работникам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1301228380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медицинских организаций системы здравоохранения квалифицированными кадрами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130N500000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</w:t>
            </w:r>
            <w:hyperlink r:id="rId16" w:tooltip="https://login.consultant.ru/link/?req=doc&amp;base=RLAW426&amp;n=84271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 w:themeColor="text1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Еврейской автономной области от 30.10.2013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390-ОЗ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 мерах по привлечению медицинских работников для работы в областных учреждениях здравоохранения и их закреплению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130N586270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1301300000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1301340780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лекарственного обеспечения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906356,38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221497,15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257141,73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214907,00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212810,50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лекарственного обеспечения в амбулаторных условиях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906356,38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221497,15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257141,73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214907,00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212810,50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части лекарственного обеспечения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1301505530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гражданам, удостоенным почетного звания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Почетный гражданин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в части лекарственного обеспечения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1301586060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284,96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 групп населения и категорий заболеваний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874760,31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 групп населения и категорий заболеваний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811666,55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152608,84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оплате лекарственных средств, отпускаемых населению по рецептам врачей бесплатно или с 50-процентной скидкой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 групп населения и категорий заболеваний,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 2021 год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31122,96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5618,85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31047,89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5543,78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областные государственные учреждения, функции и полномочия учредителя которых осуществляет 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1301586220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1.6.1.6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детей с сахарным диабетом 1 типа в возрасте от 2 до 4 лет системами непрерывного мониторинга глюкозы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0902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1301551060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10,43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10,43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1.6.1.7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детей с сахарным диабетом 1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0902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1301551070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123,42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123,42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информатизации в здравоохранении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7227,9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2198,66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4692,6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Комплексная информатизация учреждений здравоохранения и формирование интеграционной среды для медицинских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1301600000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3953,23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Техническая поддержка региональной медицинской информационной системы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1301685320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Обновление специализированного программного обеспечения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ЕФАРМА-2ЛЬГОТА WEB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1301685320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Интеграция специализированного программного обеспечения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ЕФАРМА-2ЛЬГОТА WEB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с Региональной медицинской информационной системой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1301685320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130N700000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3274,7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2219,6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Детская 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диспансер",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130N751140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1274,7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219,6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за счет средств областного бюджета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Детская 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130N7V1140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паллиативной помощи, в том числе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14496,13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4248,62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3055,60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3082,90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паллиативной помощи взрослому населению и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14496,13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4248,62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3055,60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3082,90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12120,41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3664,00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1395,50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4608,00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1389,10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1379,21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271,91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1504,20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медицинских организаци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для использования на дому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13017R2010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2375,7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584,6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деятельности областных учреждений здравоохранения особого типа и осуществление иных мероприятий в сфере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147379,43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46923,13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47772,30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26342,00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26342,00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1301800000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127373,80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37968,60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42948,00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1301800590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112378,40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33387,70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38398,70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1301800590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14995,40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4580,90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4549,30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услуг патолого-анатомическими отделениями областных учреждений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20005,63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8954,53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15623,80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14179,20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4139,60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4393,80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1301900590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приобретение и монтаж модульных патолого-анатомических отделений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оборудованием, а также холодильной камеры для хранения тел, заключенному 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1301917054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Организация общего медицинского страхования населения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1.10.1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Страховые взносы на обязательное медицинское страхование неработающего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1302000000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1.10.1.1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Обязательное медицинское страхование неработающего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1302077101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скорой специализированной, медицинской помощи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1302500000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пределах базовой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1302570960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41485,72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40653,12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мероприятий по борьбе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новой коронавирусной инфекцией (COVID-19)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 счет средств резервного фонда Правительства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1302700000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24583,60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1302758440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24583,60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 по профилактике и лечению новой коронавирусной инфекции COVID-19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областных государственных учреждениях здравоохранения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1303022240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183278,01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41576,00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131009,61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6013,90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4678,50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183278,01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41576,00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131009,61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6013,90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4678,50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2869,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1479,40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406,25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12529,96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3043,20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2955,11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4272,25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6765,62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3043,20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1642,77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998,10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1081,55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2733,10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1479,40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 автомобильного транспорта в медицинские организации, оказывающие первичную медико-санитарную помощь,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также в медицинские организации, расположенные в том числе в сельской местности, рабочих поселках, поселках городского типа и малых городах с численнос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тью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50 тыс. человек, для доставки пациентов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медицинские организации, медицинских работников до места жительства пациентов,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136,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15,75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5764,34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1312,34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1261,30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3190,70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(исполнение обязательств 2021 года)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здравоохранения, исполнение обязательств 2021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2226,72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2226,72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анитарную помощь,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контрактам, подлежащим исполнению 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152,08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152,08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модульных фельдшерско-акушерских пунктов, исполнение обязательств 2021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130N953650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и благоустройство земельных участков под возводимые фельдшерско-акушерские пункты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N928360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38766,70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фельдшерско-акушерских пунктов и врачебной амбулатории, расположенных на территории Еврейской автономной области, в 2022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 N 928360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фельдшерско-акушерских пунктов, смонтированных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 N 928360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фельдшерско-акушерских пунктов, смонтированных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2022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 N 928360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2022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 N 928330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Валдгеймская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 N 917054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обследования технического состояния объектов здравоохранения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целях проведения капитального ремонта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130N9V3650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22929,68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20038,38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территории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2023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врачебных амбулаторий, расположенных на территории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2023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врачебных амбулаторий, смонтированных в 2023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проектно-сметной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целях капитального ремонта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(основной корпус, детская поликлиника)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130N922610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территории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2024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врачебных амбулаторий, расположенных на территории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2024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Еврейской автономной области,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130N928390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за счет средств бюджетного кредита на опережающее финансирование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130N9М3650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за счет средств бюджетного кредита на опережающее финансирование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130N9М3650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50 тыс. человек, за счет средств бюджетного кредита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опережающее финансирование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130N9М3650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конструкций врачебных амбулаторий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2023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130N922280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130N9С3650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130N9С3650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человек,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 правительства области,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130N9С3650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1.13.1.15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N9V3650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1439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1439,52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и жилищно-коммунального хозяйства,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1303100000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модульных гаражей для службы скорой медицинской помощи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неотложной помощи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(не менее 16)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6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Департамент здравоохранения правительства области, департамент строительства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жилищно-коммунального хозяйства, ОГБУ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Служба заказчика (застройщика)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0909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1303128400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48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Таблица 5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Информация о ресурсном обеспечении государственной программы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Здравоохранение в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2022 – 2025 годы за счет средств областного бюджета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и прогнозная оценка привлекаемых на реализацию ее целей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средств федерального бюджета, бюджетов муниципальных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образований области, внебюджетных источников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881"/>
        <w:gridCol w:w="1531"/>
        <w:gridCol w:w="1474"/>
        <w:gridCol w:w="1446"/>
        <w:gridCol w:w="1431"/>
        <w:gridCol w:w="1460"/>
        <w:gridCol w:w="1460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Источники ресурсного обеспечения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Оценка расходов (тыс. рублей),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Здравоохранение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на 2022 - 2025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10921090,30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3425892,70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4"/>
                <w:szCs w:val="24"/>
                <w:lang w:val="ru-RU"/>
              </w:rPr>
              <w:t xml:space="preserve">3094034,70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1901086,90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2500076,00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8569082,27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2403227,40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2589986,57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1494124,50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2081743,80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2352008,03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1022665,30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504048,13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406962,40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418332,20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заболеваний и формирование здорового образа жизни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системы медицинской профилактики неинфекционных заболеваний и формирования здоровог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детей, профилактика инфекционных заболеваний, включая иммунопрофилактику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51854,35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12775,85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18988,50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51854,35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12775,85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18988,50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Центра медицинской профилактики и отделения спортивной медицины, кабинета медико-социальной помощи и антирабического центра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9553,70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2849,50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3091,50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9553,70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2849,50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3091,50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1806,35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40516,50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9455,50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40516,50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9455,50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37266,14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6205,14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37266,14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6205,14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7880,50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профилактике инфекционных заболеваний, включая иммунопрофилактику (приобретение вакцин)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3250,36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1784,15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470,85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597,00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1784,15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470,85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597,00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358,15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356,40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356,40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454,95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454,95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1.1.1.3.3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кабинетов профпатологии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78901,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26871,62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269,02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78112,60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26602,60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78901,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26871,32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17343,40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789,02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268,72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78112,60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26602,60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17170,00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(исполнение обязательств 2021 года)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"Разработка и реализация программы системной поддержки и повышения качества жизни граждан старшего поколения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Старшее поколение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егиональная программа Еврейской автономной области «Борьба с сахарным диабетом в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1.1.4.1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Дооснащение (переоснащение) медицинских организаций, оказывающих медицинскую помощь сельским жителям и жителям отдаленных территорий (центральных районных больниц, районных больниц, участковых больниц) оборудованием для выявления сахарного диабета и контр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оля за состоянием пациента с ранее выявленным сахарным диабетом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10357,10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highlight w:val="white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высокотехнологичной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Возмещение стоимости проезда до места лечения и обратно гражданам, проживающим на территории ЕАО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8701,56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2521,36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 туберкулезом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582338,43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182103,86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178829,97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578922,33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178637,76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178829,97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110727,30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548655,80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167082,04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548655,80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167082,04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текущего ремонта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Противотуберкулезный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установка медицинского, лабораторного и технологического оборудования и других основных средств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Меры по оказанию медицинской помощи гражданам, больным туберкулезом, за пределами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29481,80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9246,00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29481,80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9246,00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4636,30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1.2.2.5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психическими расстройствами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наркологическими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829338,25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225839,01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825948,25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Психиатрическая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825948,25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825948,25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252449,01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272486,04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150506,60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скорой, в том числе скорой специализированной,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29810,20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10826,50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25503,50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25503,50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25503,50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6519,80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10196,90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4393,40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службы крови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201745,00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62253,00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201002,60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переливания крови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201002,60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201002,60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61510,60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63834,40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37828,80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иных специализированных видов медицинской помощи взрослому населению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409367,06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182072,16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116908,90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332064,36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104769,46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116908,90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55193,00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77302,70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77302,70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Кожно-венерологический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60105,79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18180,09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19117,70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60105,79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18180,09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19117,70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11404,00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(выполнение работ)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Бюро судебно-медицинской экспертизы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- проведение судебно-медицинских экспертиз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163397,40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47563,00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53646,80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163397,40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47563,00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53646,80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31093,80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Медицинская помощь при заболеваниях, включенных в базовую программу ОМС, гражданам РФ, не идентифицированным и не застрахованным в системе ОМС.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3709,49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1229,59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1129,90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3709,49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1229,59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1129,90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Центр профилактики и борьбы со СПИД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61036,50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18011,40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19065,70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61036,50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18011,40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19065,70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амбулатории пос.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амбулатории пос.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прошлых лет за проведение капитального ремонта амбулатории в п. Кульдур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лабораторий медицинских организаций, осуществляющих диагностику инфекционных болезней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ремонт и восстановление асфальтового покрытия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Замена оконных блоков в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Теплоозерская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6196,70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лекарственных препаратов для лечения пациентов с новой коронавирусной инфекцией (COVID-19), получающих медицинскую помощь в амбулаторных условиях, за счет средств областного бюджета (исполнение обязательств 2021 года)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75454,40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75454,40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75454,40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75454,40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томографа рентгеновского компьютерного Aguilion Prime с установкой источника бесперебойного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15376,40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1.2.6.14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Ремонт магнитно-резонансного томографа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Optima MR360 с заменой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катушки для исследования тела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1.2.6.15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и восстановление асфальтобетонного покрытия территории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Октябрьская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Информационная инфраструктура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5535,05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5535,05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1.2.7.1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созданию и организации работы единой службы оперативной помощи гражданам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номеру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5535,05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5535,50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5479,70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оказания медицинской помощи больным прочими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18025,20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4718,00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4307,60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4345,20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16292,30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4281,20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4223,60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3876,80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3910,70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Профилактика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1408,9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349,45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360,4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Закупка диагно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5980,34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1747,22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597,84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174,72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5382,50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1572,50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739,90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1518,10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1552,00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множественной лекарственной усто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йчивостью возбудителя,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перечнем, утвержденным Министерством здравоохранения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9939,1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2271,33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3125,0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994,0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312,5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8945,10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2812,50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1.2.8.4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лиц лек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или) тканей, включающее в себя хранение лекарственных препаратов, доставку лекарственных препаратов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аптечных организаций, создание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сопровождение электронных баз данных учета и движения лекарственных препаратов в пределах субъектов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системы оказания первичной медико-санитарной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307889,57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72305,27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78425,20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82111,10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33190,57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22842,57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3291,90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3444,00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274699,00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49462,70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71756,10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74981,20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78499,00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закупки авиационных работ в целях оказания медицинской помощи за счет средств областного бюджета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280108,30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44524,00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75048,00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78425,20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82111,10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24808,30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14460,30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3291,90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3444,00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3612,10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255300,00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30063,70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71756,10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74981,20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78499,00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оплате услуг медицинского сопровождения больных, в том числе новорожденных, сторонним организациям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услуг медицинского сопровождения больных, в том числе новорожденных, сторонним организациям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Заработная плата и страховые взносы бригад сопровождения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Станция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осуществляющих сопровождение больных, в том числе новорожденных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1.2.9.5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контракту, заключенному в 2021 году, за передвижные медицинские комплексы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26698,97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26698,97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7299,97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7299,97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19399,00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19399,00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с онкологическими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75240,30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10902,00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75134,20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10902,00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10502,50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1.2.10.1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и оснащение референс-ц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ентров для проведения иммуногистохимических, патоморфологических исследований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75240,30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10902,00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10608,60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75134,20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10902,00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10502,50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Борьба с сердечно-сосудистыми заболеваниями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88869,50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43544,20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29694,20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88572,60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43544,20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Оснащение оборудованием региональных сосудистых центров и первичных сосудистых отделений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88869,50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43544,20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29694,20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296,90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88572,60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43544,20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15631,10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Охрана здоровья матери и ребенка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условий для оказания доступной и качественной медицинской помощи женщинам и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297561,63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89868,00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296977,93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ОГКУЗ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Дом ребенка специализированный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296977,93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296977,93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89284,30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92998,83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57347,40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и развитие пренатальной (дородовой) диагностики нарушения развития ребенка и неонатального скрининга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24856,86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8215,26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6093,30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6248,30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14971,26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4956,36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2849,70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2865,20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9885,60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3258,90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3383,10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обследования новорожденных детей на наследственные заболевания (неонатальный скрининг), обследование беременных женщин: пренатальная (дородовая) диагностика нарушений развития ребенка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4286,30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13567,90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4289,30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2489,30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10984,00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3621,00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3759,00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1098,40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9885,60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3258,90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3243,60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3383,10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за счет средств областного бюджета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304,96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Повышение рождаемости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Укрепление репродуктивного здоровья, сокращение числа абортов, применение вспомогательных репродуктивных технологий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комплекса мероприятий по развитию медицинской реабилитации и санаторно-курортного лечения, в том числе детей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6147,72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2380,48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6147,72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2380,48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Санаторное оздоровление детей, страдающих различными хроническими заболеваниями, состоящих на учете в лечебном учреждении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5591,05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1823,81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5591,05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1823,81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1882,24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942,50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с учетом подготовки технического задания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технического задания на выполнение работ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556,67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1.4.1.2.2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проекта округа горно-санитарной охраны санаторно-курортного комплекса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Кульдур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5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беспечение системы здравоохранения высококвалифицированными кадрами, повышение престижа медицинских специальностей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Организация кадрового обеспечения областных государственных учреждений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218628,88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63123,70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80193,58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37711,40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37600,20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216788,88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61283,70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80193,58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37711,0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37600,20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201282,04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56422,83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74567,61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201282,04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56422,83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74567,61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35145,80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Выплата стипендий студентам, ординаторам, обучающимся в медицинских государственных образовательных организациях высшего образования, зачисленным по целевому набору для Еврейской автономной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14660,80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14660,80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Социальная поддержка педагогических работников ОГПОБУ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Биробиджанский медицинский колледж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846,04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384,87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846,04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384,87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249,97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Мероприятия по покрытию расходов по оплате коммунальных платежей учреждений бюджетной сферы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1840,00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Стимулирование привлечения и закрепления медицинских работников, имеющих высшее и среднее медицинское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82820,00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19800,00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21620,00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по осуществлению единовременных компенсационных выплат медицинским работникам (врачам, фель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9202,20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82820,00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19800,00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21620,00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Ремонт служебного жилья для предоставления медицинским сотрудникам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медицинских организаций системы здравоохранения квалифицированными кадрами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</w:t>
            </w:r>
            <w:hyperlink r:id="rId17" w:tooltip="https://login.consultant.ru/link/?req=doc&amp;base=RLAW426&amp;n=84271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 w:themeColor="text1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Еврейской автономной области от 30.10.2013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390-ОЗ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 мерах по привлечению медицинских работников для работы в областных учреждениях здравоохранения и их закреплению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56542,53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16862,63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13857,90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1.5.4.1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Переподготовка и повышение квалификации медицинских кадров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лекарственного обеспечения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системы лекарственного обеспечения в амбулаторных условиях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1239439,88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304356,65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339436,43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297823,40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297823,40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906356,38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221497,15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257141,73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214907,00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212810,50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333083,50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82859,50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82294,70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82916,40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85012,90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части лекарственного обеспечения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гражданам, удостоенным почетного звания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Почетный гражданин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части лекарственного обеспечения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284,96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284,96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33,56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 групп населения и категорий заболеваний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874760,31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874760,31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социальной помощи на оплату лекарственных средств, отпускаемых населению по рецептам врачей бесплатно или с 50-процентной скидкой в 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перечнем групп населения и категорий заболеваний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811666,55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811666,55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241331,61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209911,30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207814,8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 2021 год по оплате лекарственных средств, отпускаемых населению по рецептам врачей бесплатно или с 50-процентной скидкой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соответствии с перечнем групп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категорий заболеваний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63093,76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31122,96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5618,85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31122,96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5618,85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31047,89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5543,78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31047,89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5543,78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15632,71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4935,70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Погашение кредиторской задолженности по обеспечению полноценным питанием беременных женщин, имеющих доход ниже прожиточного минимума, кормящих 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75,07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1.6.1.5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граждан лекарственными препаратами, изделиями медицинского назначения в рамках Федерального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</w:t>
            </w:r>
            <w:hyperlink r:id="rId18" w:tooltip="https://login.consultant.ru/link/?req=doc&amp;base=LAW&amp;n=45269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 w:themeColor="text1"/>
                  <w:sz w:val="24"/>
                  <w:szCs w:val="24"/>
                </w:rPr>
                <w:t xml:space="preserve">закона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от 17.07.1999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178-ФЗ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 государственной социальной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а также обеспечение продуктами лечебного питания для детей-инвалидов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331878,80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82859,50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81090,00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82916,40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85012,90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331878,80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82859,50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81090,00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82916,40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85012,90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1.6.1.6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детей с сахарным диабетом 1 типа в возрасте от 2 до 4 лет системами непрерывного мониторинга глюкозы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  <w:p>
            <w:pPr>
              <w:pStyle w:val="932"/>
              <w:jc w:val="center"/>
              <w:widowControl/>
              <w:rPr>
                <w:rFonts w:hint="default" w:ascii="Times New Roman" w:hAnsi="Times New Roman" w:cs="Times New Roman"/>
                <w:color w:val="auto"/>
                <w:highlight w:val="whit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  <w:r>
              <w:rPr>
                <w:rFonts w:hint="default" w:ascii="Times New Roman" w:hAnsi="Times New Roman" w:cs="Times New Roman"/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104,33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104,33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10,43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10,43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93,90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93,90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1.6.1.7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32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детей с сахарным диабетом 1 типа в возрасте от 4 до 17 лет включительно системами непрерывного мониторинга глюкозы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1234,22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1234,22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123,42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123,42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1110,80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1110,80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lef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7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Развитие информатизации в здравоохранении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Комплексная информатизация учреждений здравоохранения и формирование интеграционной среды для медицинских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3953,23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3953,23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Комплексная информатизация учреждений здравоохранения и формирование интеграционной среды для медицинских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Обновление СПО "ЕФАРМА-2ЛЬГОТА WEB"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1380,23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Интеграция СПО "ЕФАРМА-2ЛЬГОТА WEB" с Региональной медицинской информационной системой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в здравоохранении на основе единой государственной информационной системы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129472,53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81842,93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23960,80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23668,80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3274,73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2219,60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126197,80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81024,50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21741,20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23432,10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 здравоохранения (ЕГИСЗ)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127472,53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81842,93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21960,80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23668,80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1274,73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818,43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219,60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126197,80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81024,50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21741,20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23432,10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1.7.2.2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Создание единого цифрового контура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здравоохранении на основе единой государственной информационной системы здравоохранения (ЕГИСЗ) за счет средств областного бюджета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Оказание паллиативной помощи, в том числе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Совершенствование оказания паллиативной помощи взрослому населению и детям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35701,63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9460,51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9452,32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8259,30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8529,50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14496,13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4109,01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4248,62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3055,60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3082,90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21205,50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5351,50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5203,70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5203,70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5446,60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12120,41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3664,00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12120,41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3514,41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3664,00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2471,00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1395,50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4629,00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1395,50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4608,00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1389,10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4608,00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1389,10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901,40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1379,21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271,91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1379,21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271,91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356,50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1504,20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1504,20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302,10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1.8.1.2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медицинских организаци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й, оказывающих паллиативную медицинскую помощь, необходимыми лекарственными препаратами, включая обезболивающие, обеспечение медицинских организаций, оказывающих паллиативную медицинскую помощь, медицинскими изделиями, в том числе для использования на дому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23581,20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5946,10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5788,30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5788,30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6058,50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594,60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611,90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21205,50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5351,50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5203,70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5203,70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5446,60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9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Обеспечение деятельности областных учреждений здравоохранения особого типа и осуществление иных мероприятий в сфере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услуг организациями государственной системы здравоохранения, обеспечивающими функционирование отрасли, и осуществление иных мероприятий в сфере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127373,80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37968,60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42948,00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127373,80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37968,60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42948,00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23228,60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Медицинский информационно-аналитический центр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112378,40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33387,70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38397,70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112378,40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33387,70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38397,70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20296,00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14995,40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4580,90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4549,30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14995,40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4580,90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4549,30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услуг патолого-анатомическими отделениями областных учреждений здравоохранения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20005,63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8954,53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20005,63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8954,53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,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15623,80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15623,80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4572,70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4824,30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3113,40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Ленинская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346,40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14179,20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4139,60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4393,80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14179,20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4139,60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4393,80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Смидовичская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547,40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172,30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336,60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95,70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обеспечение деятельности (оказание услуг)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Облученская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(патолого-анатомические отделения)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1.9.2.2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приобретение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монтаж модульных патолого-анатомических отделений с оборудованием, а также холодильной камеры для хранения тел, заключенному 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4381,83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Организация общего медицинского страхования населения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1.10.1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Страховые взносы на обязательное медицинское страхование неработающего населения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1.10.1.1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Обязательное медицинское страхование неработающего населения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4488103,10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1249009,00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725697,30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Предоставление иного межбюджетного трансферта из средств областного бюджета бюджету территориального ф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онда обязательного медицинского страхования Еврейской автономной области на дополнительное финансовое обеспечение оказания скорой, в том числе скорой специализированной, медицинской помощи в пределах базовой программы обязательного медицинского страхования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117904,00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29476,00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12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"Финансовое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48870,00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24583,60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25119,00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25119,00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49702,60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48870,00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24583,60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23751,00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832,60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25119,00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25119,00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 по профилактике и лечению новой коронавирусной инфекции COVID-19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областных государственных учреждениях здравоохранения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16902,12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Региональная программа Еврейской автономной области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первичного звена здравоохранения в Еврейской автономной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920575,51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306652,80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264474,81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141516,10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207931,80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183278,01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41576,00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131009,61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6013,90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4678,50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737297,50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265076,80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133465,20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135502,20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203253,30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623122,28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140024,80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136540,88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138624,80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207931,80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15399,38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4522,60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3075,68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3122,60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4678,50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607722,90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135502,20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133465,20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135502,20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203253,30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300404,32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135100,0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72928,87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44308,70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48066,75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6765,62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3043,20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1642,77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998,10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1081,55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293638,70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132056,80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71286,10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43310,60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46985,20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медико-санитарную помощь,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60601,90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4924,80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38322,00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17355,10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2733,10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1479,40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863,20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390,50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57868,80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3445,40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37458,80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16964,60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 автомобильного транспорта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медицинские организации, оказывающие первичную медико-санитарную помощь,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 также в медицинские организации, расположенные в том числе в сельской местности, рабочих поселках, поселках городского типа и малых городах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численнос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тью до 50 тыс. человек, для доставки пациентов в медицинские организации, медицинских работников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6052,76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5352,81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699,95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136,32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15,75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5916,44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5232,24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684,20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256063,30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58259,20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55994,10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141810,00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5764,34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1312,34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1261,30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3190,70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250298,96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56946,86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54732,80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138619,30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(исполнение обязательств 2021 года)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9963,00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здравоохранения, исполнение обязательств 2021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132557,20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132557,20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2982,60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129574,60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129574,60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в рамках исполнения обязательств по контрактам, подлежащим исполнению в 2021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98850,32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98850,32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2226,72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2226,72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96623,60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96623,60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оборудования в медицинские организации, оказывающие первичную медико-с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анитарную помощь,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медицинские организации, расположенные в сельской местности, поселках городского типа и малых городах с численностью населения до 50 тыс. человек, в рамках исполнения обязательств по контрактам, подлежащим исполнению в 2021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6760,39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6760,39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152,08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152,08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6608,31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6608,31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модульных фельдшерско-акушерских пунктов, исполнение обязательств 2021 года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26946,49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26946,49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26342,69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26342,69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и благоустройство участков под возводимые фельдшерско-акушерские пункты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38766,70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38766,70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территории под монтаж фельдшерско-акушерских пунктов в 2022 году: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амбулатория п. 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ира; ФАП с. Октябрьское; ФАП с. Ручейки; ФАП с. Нагибово;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с. Столбовое; ФАП с. Башурово;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с. Пашково; ФАП с. Воскресеновка; ФАП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с. Ленинское; ФАП с. Дежнево;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с. Квашнино; ФАП с. Башмак;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с. Преображеновка;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Новотроицкое; ФАП с. Кукелево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под возведенные в 2021 году фельдшерско-акушерские пункты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17724,40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фельдшерско-акушерских пунктов, смонтированных в 2022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21042,30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фельдшерско-акушерских пунктов в 2022 году: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амбулатория п. Бира;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Октябрьское;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Ручейки;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Нагибово;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Столбовое; ФАП с. Башурово;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Пашково; ФАП с. Воскресеновка; ФАП с. Ленинское; ФАП с. Дежнево;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Квашнино; ФАП с. Башмак;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Преображеновка;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ФАП с. Новотроицкое; ФАП с. Кукелево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по контракту на осуществление технологического присоединения к сетям электроснабжения модульных фельдшерско-акушерских пунктов, заключенному в 2021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553,40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533,40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обследования технического состояния объектов здравоохранения в целях проведения капитального ремонта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4650,00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22929,68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20038,38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22929,68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20038,38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2891,30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области, в 2023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34977,09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быстровозводимых модульных конструкций врачебных амбулаторий, расположенных на территории Еврейской автономной области,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2023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12389,50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Благоустройство земельных участков врачебных амбулаторий, смонтированных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2023 году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22587,59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Разработка проектно-сметной документации в целях капитального ремонта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Николаевская центральная районная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(основной корпус, детская поликлиника)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731,68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области, в 2024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территорий под возводимые модульные конструкции и врачебные амбулатории, расположенные на территории Еврейской автономной области, в 2024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3920,84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за счет средств бюджетного кредита на опережающее финансирование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44138,30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за счет средств бюджетного кредита на опережающее финансирование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43112,40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человек, за счет средств бюджетного кредита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 опережающее финансирование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1025,90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технологического присоединения к сетям электроснабжения модульных конструкций врачебных амбулаторий в 2023 году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417,80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региональных проектов модернизации первичного звена здравоохранения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1228,02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1.13.1. 14.1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и монтаж быстровозводимых модульных конструкций объектов медицинских организаций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1196,30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1.13.1. 14.2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человек, за счет опережающего финансирования (средства областного бюджета)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31,72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1.13.1.15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Осуществление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до 50 тыс. человек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1439,52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1439,52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1439,52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1439,52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Задача 14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Основное мероприятие 1 "Реализация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377430,75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267775,00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109655,75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375986,53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267775,00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108211,53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модульных гаражей для службы скорой медицинской помощи и неотложной помощи (не менее 16)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56462,00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41562,00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56462,00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41562,00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материально-технической базы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170386,20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105000,00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170386,20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105000,00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для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и ввод в эксплуатацию оборудования и инвентаря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35352,21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35352,21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35352,21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35352,21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Проведение ремонтных работ в ОГБУЗ "Областная больница"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135033,99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69647,79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135033,99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69647,79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65386,20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аппарата компьютерной томографии для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в г. Биробиджане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43875,00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Приобретение 2 цифровых рентгенологических аппаратов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39400,00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материально-технической базы фельдшерско-акушерских пунктов в соответствии со стандартами оснащения в населенных пунктах Еврейской автономной области (не менее 20 ФАПов)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64600,00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64600,00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64600,00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64600,00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Подготовка земельных участков под монтаж модульных гаражей для службы скорой медицинской помощи и неотложной помощи (не менее 16)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1444,22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1.14.1.7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Оснащение пищеблока ОГБУЗ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Областная больница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холодильным и морозильным оборудованием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1263,33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1263,33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1263,33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1263,33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3" w:right="1440" w:bottom="566" w:left="1440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8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Таблица 6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финансирования государственной программы Еврейской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автономной области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Здравоохранение в Еврейской автономной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на 2022 – 2025 годы по направлениям расходов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91"/>
        <w:gridCol w:w="1417"/>
        <w:gridCol w:w="1417"/>
        <w:gridCol w:w="1417"/>
        <w:gridCol w:w="1417"/>
        <w:gridCol w:w="1417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 направления расходов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5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8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сего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8569082,27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2403227,40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2589986,57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1494124,50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2081743,80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2352008,03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1022665,30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504048,13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406962,40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418332,20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апитальные вложения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126476,38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48875,97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69799,33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3122,60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4678,45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1128327,17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579876,91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169794,96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175402,00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203253,30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6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рочие расходы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8442605,92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2354351,43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2520187,24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1491001,90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2077065,35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1223680,86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442788,39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334253,17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231560,40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215078,90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1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94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ind w:left="0" w:right="0" w:firstLine="72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Настоящее постановление вступает в силу со дня его подписания.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Губернатор области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Р.Э. Гольдште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 w:eastAsia="en-US"/>
          <w14:textFill>
            <w14:solidFill>
              <w14:schemeClr w14:val="tx1"/>
            </w14:solidFill>
          </w14:textFill>
        </w:rPr>
        <w:t xml:space="preserve">йн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r>
    </w:p>
    <w:sectPr>
      <w:footnotePr/>
      <w:endnotePr/>
      <w:type w:val="nextPage"/>
      <w:pgSz w:w="11906" w:h="16838" w:orient="portrait"/>
      <w:pgMar w:top="1134" w:right="850" w:bottom="850" w:left="1701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 xml:space="preserve">PAGE \* MERGEFORMAT</w:instrText>
    </w:r>
    <w:r>
      <w:rPr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ru-RU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  <w:spacing w:after="0" w:afterAutospacing="0" w:line="240" w:lineRule="auto"/>
    </w:pPr>
    <w:r>
      <w:fldChar w:fldCharType="begin"/>
    </w:r>
    <w:r>
      <w:instrText xml:space="preserve">PAGE \* MERGEFORMAT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1</w:t>
    </w:r>
    <w:r>
      <w:rPr>
        <w:rFonts w:ascii="Times New Roman" w:hAnsi="Times New Roman" w:cs="Times New Roman"/>
        <w:sz w:val="24"/>
        <w:szCs w:val="24"/>
      </w:rPr>
      <w:fldChar w:fldCharType="end"/>
    </w:r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uiPriority w:val="0"/>
    <w:qFormat/>
    <w:pPr>
      <w:spacing w:after="160" w:line="259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styleId="717">
    <w:name w:val="Heading 1"/>
    <w:basedOn w:val="716"/>
    <w:next w:val="716"/>
    <w:link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8">
    <w:name w:val="Heading 2"/>
    <w:basedOn w:val="716"/>
    <w:next w:val="716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qFormat/>
  </w:style>
  <w:style w:type="table" w:styleId="72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8">
    <w:name w:val="footnote reference"/>
    <w:uiPriority w:val="99"/>
    <w:unhideWhenUsed/>
    <w:qFormat/>
    <w:rPr>
      <w:vertAlign w:val="superscript"/>
    </w:rPr>
  </w:style>
  <w:style w:type="character" w:styleId="729">
    <w:name w:val="endnote reference"/>
    <w:uiPriority w:val="99"/>
    <w:semiHidden/>
    <w:unhideWhenUsed/>
    <w:qFormat/>
    <w:rPr>
      <w:vertAlign w:val="superscript"/>
    </w:rPr>
  </w:style>
  <w:style w:type="character" w:styleId="730">
    <w:name w:val="Hyperlink"/>
    <w:uiPriority w:val="99"/>
    <w:unhideWhenUsed/>
    <w:qFormat/>
    <w:rPr>
      <w:color w:val="0000ff"/>
      <w:u w:val="single"/>
    </w:rPr>
  </w:style>
  <w:style w:type="paragraph" w:styleId="731">
    <w:name w:val="Balloon Text"/>
    <w:basedOn w:val="716"/>
    <w:link w:val="943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paragraph" w:styleId="732">
    <w:name w:val="endnote text"/>
    <w:basedOn w:val="716"/>
    <w:link w:val="930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33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34">
    <w:name w:val="footnote text"/>
    <w:basedOn w:val="716"/>
    <w:link w:val="929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35">
    <w:name w:val="toc 8"/>
    <w:basedOn w:val="716"/>
    <w:next w:val="716"/>
    <w:uiPriority w:val="39"/>
    <w:unhideWhenUsed/>
    <w:qFormat/>
    <w:pPr>
      <w:ind w:left="1984"/>
      <w:spacing w:after="57"/>
    </w:pPr>
  </w:style>
  <w:style w:type="paragraph" w:styleId="736">
    <w:name w:val="Header"/>
    <w:basedOn w:val="716"/>
    <w:link w:val="941"/>
    <w:uiPriority w:val="99"/>
    <w:unhideWhenUsed/>
    <w:qFormat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paragraph" w:styleId="737">
    <w:name w:val="toc 9"/>
    <w:basedOn w:val="716"/>
    <w:next w:val="716"/>
    <w:uiPriority w:val="39"/>
    <w:unhideWhenUsed/>
    <w:qFormat/>
    <w:pPr>
      <w:ind w:left="2268"/>
      <w:spacing w:after="57"/>
    </w:pPr>
  </w:style>
  <w:style w:type="paragraph" w:styleId="738">
    <w:name w:val="toc 7"/>
    <w:basedOn w:val="716"/>
    <w:next w:val="716"/>
    <w:uiPriority w:val="39"/>
    <w:unhideWhenUsed/>
    <w:qFormat/>
    <w:pPr>
      <w:ind w:left="1701"/>
      <w:spacing w:after="57"/>
    </w:pPr>
  </w:style>
  <w:style w:type="paragraph" w:styleId="739">
    <w:name w:val="toc 1"/>
    <w:basedOn w:val="716"/>
    <w:next w:val="716"/>
    <w:uiPriority w:val="39"/>
    <w:unhideWhenUsed/>
    <w:qFormat/>
    <w:pPr>
      <w:spacing w:after="57"/>
    </w:pPr>
  </w:style>
  <w:style w:type="paragraph" w:styleId="740">
    <w:name w:val="toc 6"/>
    <w:basedOn w:val="716"/>
    <w:next w:val="716"/>
    <w:uiPriority w:val="39"/>
    <w:unhideWhenUsed/>
    <w:qFormat/>
    <w:pPr>
      <w:ind w:left="1417"/>
      <w:spacing w:after="57"/>
    </w:pPr>
  </w:style>
  <w:style w:type="paragraph" w:styleId="741">
    <w:name w:val="table of figures"/>
    <w:basedOn w:val="716"/>
    <w:next w:val="716"/>
    <w:uiPriority w:val="99"/>
    <w:unhideWhenUsed/>
    <w:qFormat/>
    <w:pPr>
      <w:spacing w:after="0"/>
    </w:pPr>
  </w:style>
  <w:style w:type="paragraph" w:styleId="742">
    <w:name w:val="toc 3"/>
    <w:basedOn w:val="716"/>
    <w:next w:val="716"/>
    <w:uiPriority w:val="39"/>
    <w:unhideWhenUsed/>
    <w:qFormat/>
    <w:pPr>
      <w:ind w:left="567"/>
      <w:spacing w:after="57"/>
    </w:pPr>
  </w:style>
  <w:style w:type="paragraph" w:styleId="743">
    <w:name w:val="toc 2"/>
    <w:basedOn w:val="716"/>
    <w:next w:val="716"/>
    <w:uiPriority w:val="39"/>
    <w:unhideWhenUsed/>
    <w:qFormat/>
    <w:pPr>
      <w:ind w:left="283"/>
      <w:spacing w:after="57"/>
    </w:pPr>
  </w:style>
  <w:style w:type="paragraph" w:styleId="744">
    <w:name w:val="toc 4"/>
    <w:basedOn w:val="716"/>
    <w:next w:val="716"/>
    <w:uiPriority w:val="39"/>
    <w:unhideWhenUsed/>
    <w:qFormat/>
    <w:pPr>
      <w:ind w:left="850"/>
      <w:spacing w:after="57"/>
    </w:pPr>
  </w:style>
  <w:style w:type="paragraph" w:styleId="745">
    <w:name w:val="toc 5"/>
    <w:basedOn w:val="716"/>
    <w:next w:val="716"/>
    <w:uiPriority w:val="39"/>
    <w:unhideWhenUsed/>
    <w:qFormat/>
    <w:pPr>
      <w:ind w:left="1134"/>
      <w:spacing w:after="57"/>
    </w:pPr>
  </w:style>
  <w:style w:type="paragraph" w:styleId="746">
    <w:name w:val="Title"/>
    <w:basedOn w:val="716"/>
    <w:next w:val="716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7">
    <w:name w:val="Footer"/>
    <w:basedOn w:val="716"/>
    <w:link w:val="942"/>
    <w:uiPriority w:val="99"/>
    <w:unhideWhenUsed/>
    <w:qFormat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paragraph" w:styleId="748">
    <w:name w:val="Subtitle"/>
    <w:basedOn w:val="716"/>
    <w:next w:val="716"/>
    <w:link w:val="796"/>
    <w:uiPriority w:val="11"/>
    <w:qFormat/>
    <w:pPr>
      <w:spacing w:before="200" w:after="200"/>
    </w:pPr>
    <w:rPr>
      <w:sz w:val="24"/>
      <w:szCs w:val="24"/>
    </w:rPr>
  </w:style>
  <w:style w:type="table" w:styleId="749">
    <w:name w:val="Table Grid"/>
    <w:uiPriority w:val="5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1"/>
    <w:basedOn w:val="72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2"/>
    <w:basedOn w:val="72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3"/>
    <w:basedOn w:val="72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Plain Table 4"/>
    <w:basedOn w:val="72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Plain Table 5"/>
    <w:basedOn w:val="72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1 Light"/>
    <w:basedOn w:val="72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2"/>
    <w:basedOn w:val="72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2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72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5 Dark"/>
    <w:basedOn w:val="72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6 Colorful"/>
    <w:basedOn w:val="72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61" w:customStyle="1">
    <w:name w:val="Grid Table 7 Colorful"/>
    <w:basedOn w:val="72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"/>
    <w:basedOn w:val="72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72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3"/>
    <w:basedOn w:val="72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72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5 Dark"/>
    <w:basedOn w:val="727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67" w:customStyle="1">
    <w:name w:val="List Table 6 Colorful"/>
    <w:basedOn w:val="72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68" w:customStyle="1">
    <w:name w:val="List Table 7 Colorful"/>
    <w:basedOn w:val="727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7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le Char"/>
    <w:uiPriority w:val="10"/>
    <w:qFormat/>
    <w:rPr>
      <w:sz w:val="48"/>
      <w:szCs w:val="48"/>
    </w:rPr>
  </w:style>
  <w:style w:type="character" w:styleId="779" w:customStyle="1">
    <w:name w:val="Subtitle Char"/>
    <w:uiPriority w:val="11"/>
    <w:qFormat/>
    <w:rPr>
      <w:sz w:val="24"/>
      <w:szCs w:val="24"/>
    </w:rPr>
  </w:style>
  <w:style w:type="character" w:styleId="780" w:customStyle="1">
    <w:name w:val="Quote Char"/>
    <w:uiPriority w:val="29"/>
    <w:qFormat/>
    <w:rPr>
      <w:i/>
    </w:rPr>
  </w:style>
  <w:style w:type="character" w:styleId="781" w:customStyle="1">
    <w:name w:val="Intense Quote Char"/>
    <w:uiPriority w:val="30"/>
    <w:qFormat/>
    <w:rPr>
      <w:i/>
    </w:rPr>
  </w:style>
  <w:style w:type="character" w:styleId="782" w:customStyle="1">
    <w:name w:val="Footnote Text Char"/>
    <w:uiPriority w:val="99"/>
    <w:qFormat/>
    <w:rPr>
      <w:sz w:val="18"/>
    </w:rPr>
  </w:style>
  <w:style w:type="character" w:styleId="783" w:customStyle="1">
    <w:name w:val="Endnote Text Char"/>
    <w:uiPriority w:val="99"/>
    <w:qFormat/>
    <w:rPr>
      <w:sz w:val="20"/>
    </w:rPr>
  </w:style>
  <w:style w:type="character" w:styleId="784" w:customStyle="1">
    <w:name w:val="Заголовок 1 Знак"/>
    <w:link w:val="717"/>
    <w:uiPriority w:val="9"/>
    <w:qFormat/>
    <w:rPr>
      <w:rFonts w:ascii="Arial" w:hAnsi="Arial" w:eastAsia="Arial" w:cs="Arial"/>
      <w:sz w:val="40"/>
      <w:szCs w:val="40"/>
    </w:rPr>
  </w:style>
  <w:style w:type="character" w:styleId="785" w:customStyle="1">
    <w:name w:val="Заголовок 2 Знак"/>
    <w:link w:val="718"/>
    <w:uiPriority w:val="9"/>
    <w:qFormat/>
    <w:rPr>
      <w:rFonts w:ascii="Arial" w:hAnsi="Arial" w:eastAsia="Arial" w:cs="Arial"/>
      <w:sz w:val="34"/>
    </w:rPr>
  </w:style>
  <w:style w:type="character" w:styleId="786" w:customStyle="1">
    <w:name w:val="Заголовок 3 Знак"/>
    <w:link w:val="719"/>
    <w:uiPriority w:val="9"/>
    <w:qFormat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link w:val="72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link w:val="7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link w:val="72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link w:val="7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link w:val="72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link w:val="72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716"/>
    <w:uiPriority w:val="34"/>
    <w:qFormat/>
    <w:pPr>
      <w:contextualSpacing/>
      <w:ind w:left="720"/>
    </w:pPr>
  </w:style>
  <w:style w:type="paragraph" w:styleId="794">
    <w:name w:val="No Spacing"/>
    <w:uiPriority w:val="1"/>
    <w:qFormat/>
    <w:rPr>
      <w:rFonts w:hint="default" w:ascii="Calibri" w:hAnsi="Calibri" w:eastAsia="Times New Roman" w:cs="Times New Roman"/>
      <w:lang w:val="ru-RU" w:eastAsia="zh-CN" w:bidi="ar-SA"/>
    </w:rPr>
  </w:style>
  <w:style w:type="character" w:styleId="795" w:customStyle="1">
    <w:name w:val="Заголовок Знак"/>
    <w:link w:val="746"/>
    <w:uiPriority w:val="10"/>
    <w:qFormat/>
    <w:rPr>
      <w:sz w:val="48"/>
      <w:szCs w:val="48"/>
    </w:rPr>
  </w:style>
  <w:style w:type="character" w:styleId="796" w:customStyle="1">
    <w:name w:val="Подзаголовок Знак"/>
    <w:link w:val="748"/>
    <w:uiPriority w:val="11"/>
    <w:qFormat/>
    <w:rPr>
      <w:sz w:val="24"/>
      <w:szCs w:val="24"/>
    </w:rPr>
  </w:style>
  <w:style w:type="paragraph" w:styleId="797">
    <w:name w:val="Quote"/>
    <w:basedOn w:val="716"/>
    <w:next w:val="716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qFormat/>
    <w:rPr>
      <w:i/>
    </w:rPr>
  </w:style>
  <w:style w:type="paragraph" w:styleId="799">
    <w:name w:val="Intense Quote"/>
    <w:basedOn w:val="716"/>
    <w:next w:val="716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qFormat/>
    <w:rPr>
      <w:i/>
    </w:rPr>
  </w:style>
  <w:style w:type="character" w:styleId="801" w:customStyle="1">
    <w:name w:val="Header Char"/>
    <w:uiPriority w:val="99"/>
    <w:qFormat/>
  </w:style>
  <w:style w:type="character" w:styleId="802" w:customStyle="1">
    <w:name w:val="Footer Char"/>
    <w:uiPriority w:val="99"/>
    <w:qFormat/>
  </w:style>
  <w:style w:type="character" w:styleId="803" w:customStyle="1">
    <w:name w:val="Caption Char"/>
    <w:uiPriority w:val="99"/>
    <w:qFormat/>
  </w:style>
  <w:style w:type="table" w:styleId="804" w:customStyle="1">
    <w:name w:val="Table Grid Light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Таблица простая 11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Таблица простая 21"/>
    <w:uiPriority w:val="59"/>
    <w:qFormat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Таблица простая 3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 простая 4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 простая 5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-сетка 1 светлая1"/>
    <w:uiPriority w:val="99"/>
    <w:qFormat/>
    <w:rPr>
      <w:lang w:eastAsia="zh-CN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Таблица-сетка 21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Таблица-сетка 31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Таблица-сетка 41"/>
    <w:uiPriority w:val="59"/>
    <w:qFormat/>
    <w:rPr>
      <w:lang w:eastAsia="zh-CN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1"/>
    <w:uiPriority w:val="5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2"/>
    <w:uiPriority w:val="5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3"/>
    <w:uiPriority w:val="5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4"/>
    <w:uiPriority w:val="5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5"/>
    <w:uiPriority w:val="5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6"/>
    <w:uiPriority w:val="5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Таблица-сетка 5 темная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- Accent 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2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3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- Accent 4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5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6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Таблица-сетка 6 цветная1"/>
    <w:uiPriority w:val="99"/>
    <w:qFormat/>
    <w:rPr>
      <w:lang w:eastAsia="zh-CN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1"/>
    <w:uiPriority w:val="99"/>
    <w:qFormat/>
    <w:rPr>
      <w:lang w:eastAsia="zh-CN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3"/>
    <w:uiPriority w:val="99"/>
    <w:qFormat/>
    <w:rPr>
      <w:lang w:eastAsia="zh-CN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5"/>
    <w:uiPriority w:val="99"/>
    <w:qFormat/>
    <w:rPr>
      <w:lang w:eastAsia="zh-CN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6"/>
    <w:uiPriority w:val="99"/>
    <w:qFormat/>
    <w:rPr>
      <w:lang w:eastAsia="zh-CN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Таблица-сетка 7 цветная1"/>
    <w:uiPriority w:val="99"/>
    <w:qFormat/>
    <w:rPr>
      <w:lang w:eastAsia="zh-CN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1"/>
    <w:uiPriority w:val="99"/>
    <w:qFormat/>
    <w:rPr>
      <w:lang w:eastAsia="zh-CN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2"/>
    <w:uiPriority w:val="99"/>
    <w:qFormat/>
    <w:rPr>
      <w:lang w:eastAsia="zh-CN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3"/>
    <w:uiPriority w:val="99"/>
    <w:qFormat/>
    <w:rPr>
      <w:lang w:eastAsia="zh-CN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4"/>
    <w:uiPriority w:val="99"/>
    <w:qFormat/>
    <w:rPr>
      <w:lang w:eastAsia="zh-CN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5"/>
    <w:uiPriority w:val="99"/>
    <w:qFormat/>
    <w:rPr>
      <w:lang w:eastAsia="zh-CN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6"/>
    <w:uiPriority w:val="99"/>
    <w:qFormat/>
    <w:rPr>
      <w:lang w:eastAsia="zh-CN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Список-таблица 1 светлая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2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6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Список-таблица 21"/>
    <w:uiPriority w:val="99"/>
    <w:qFormat/>
    <w:rPr>
      <w:lang w:eastAsia="zh-CN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1"/>
    <w:uiPriority w:val="99"/>
    <w:qFormat/>
    <w:rPr>
      <w:lang w:eastAsia="zh-CN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2"/>
    <w:uiPriority w:val="99"/>
    <w:qFormat/>
    <w:rPr>
      <w:lang w:eastAsia="zh-CN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3"/>
    <w:uiPriority w:val="99"/>
    <w:qFormat/>
    <w:rPr>
      <w:lang w:eastAsia="zh-CN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4"/>
    <w:uiPriority w:val="99"/>
    <w:qFormat/>
    <w:rPr>
      <w:lang w:eastAsia="zh-CN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5"/>
    <w:uiPriority w:val="99"/>
    <w:qFormat/>
    <w:rPr>
      <w:lang w:eastAsia="zh-CN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6"/>
    <w:uiPriority w:val="99"/>
    <w:qFormat/>
    <w:rPr>
      <w:lang w:eastAsia="zh-CN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Список-таблица 31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1"/>
    <w:uiPriority w:val="99"/>
    <w:qFormat/>
    <w:rPr>
      <w:lang w:eastAsia="zh-CN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3"/>
    <w:uiPriority w:val="99"/>
    <w:qFormat/>
    <w:rPr>
      <w:lang w:eastAsia="zh-CN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5"/>
    <w:uiPriority w:val="99"/>
    <w:qFormat/>
    <w:rPr>
      <w:lang w:eastAsia="zh-CN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6"/>
    <w:uiPriority w:val="99"/>
    <w:qFormat/>
    <w:rPr>
      <w:lang w:eastAsia="zh-CN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Список-таблица 41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1"/>
    <w:uiPriority w:val="9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2"/>
    <w:uiPriority w:val="9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3"/>
    <w:uiPriority w:val="9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4"/>
    <w:uiPriority w:val="9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5"/>
    <w:uiPriority w:val="9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6"/>
    <w:uiPriority w:val="9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Список-таблица 5 темная1"/>
    <w:uiPriority w:val="99"/>
    <w:qFormat/>
    <w:rPr>
      <w:lang w:eastAsia="zh-CN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1"/>
    <w:uiPriority w:val="99"/>
    <w:qFormat/>
    <w:rPr>
      <w:lang w:eastAsia="zh-CN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2"/>
    <w:uiPriority w:val="99"/>
    <w:qFormat/>
    <w:rPr>
      <w:lang w:eastAsia="zh-CN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3"/>
    <w:uiPriority w:val="99"/>
    <w:qFormat/>
    <w:rPr>
      <w:lang w:eastAsia="zh-CN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4"/>
    <w:uiPriority w:val="99"/>
    <w:qFormat/>
    <w:rPr>
      <w:lang w:eastAsia="zh-CN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5"/>
    <w:uiPriority w:val="99"/>
    <w:qFormat/>
    <w:rPr>
      <w:lang w:eastAsia="zh-CN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6"/>
    <w:uiPriority w:val="99"/>
    <w:qFormat/>
    <w:rPr>
      <w:lang w:eastAsia="zh-CN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Список-таблица 6 цветная1"/>
    <w:uiPriority w:val="99"/>
    <w:qFormat/>
    <w:rPr>
      <w:lang w:eastAsia="zh-CN"/>
    </w:rPr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1"/>
    <w:uiPriority w:val="99"/>
    <w:qFormat/>
    <w:rPr>
      <w:lang w:eastAsia="zh-CN"/>
    </w:rPr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2"/>
    <w:uiPriority w:val="99"/>
    <w:qFormat/>
    <w:rPr>
      <w:lang w:eastAsia="zh-CN"/>
    </w:rPr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3"/>
    <w:uiPriority w:val="99"/>
    <w:qFormat/>
    <w:rPr>
      <w:lang w:eastAsia="zh-CN"/>
    </w:rPr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4"/>
    <w:uiPriority w:val="99"/>
    <w:qFormat/>
    <w:rPr>
      <w:lang w:eastAsia="zh-CN"/>
    </w:rPr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5"/>
    <w:uiPriority w:val="99"/>
    <w:qFormat/>
    <w:rPr>
      <w:lang w:eastAsia="zh-CN"/>
    </w:rPr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6"/>
    <w:uiPriority w:val="99"/>
    <w:qFormat/>
    <w:rPr>
      <w:lang w:eastAsia="zh-CN"/>
    </w:rPr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Список-таблица 7 цветная1"/>
    <w:uiPriority w:val="99"/>
    <w:qFormat/>
    <w:rPr>
      <w:lang w:eastAsia="zh-CN"/>
    </w:rPr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1"/>
    <w:uiPriority w:val="99"/>
    <w:qFormat/>
    <w:rPr>
      <w:lang w:eastAsia="zh-CN"/>
    </w:rPr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2"/>
    <w:uiPriority w:val="99"/>
    <w:qFormat/>
    <w:rPr>
      <w:lang w:eastAsia="zh-CN"/>
    </w:rPr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3"/>
    <w:uiPriority w:val="99"/>
    <w:qFormat/>
    <w:rPr>
      <w:lang w:eastAsia="zh-CN"/>
    </w:rPr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4"/>
    <w:uiPriority w:val="99"/>
    <w:qFormat/>
    <w:rPr>
      <w:lang w:eastAsia="zh-CN"/>
    </w:rPr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5"/>
    <w:uiPriority w:val="99"/>
    <w:qFormat/>
    <w:rPr>
      <w:lang w:eastAsia="zh-CN"/>
    </w:rPr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6"/>
    <w:uiPriority w:val="99"/>
    <w:qFormat/>
    <w:rPr>
      <w:lang w:eastAsia="zh-CN"/>
    </w:rPr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1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2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1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2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3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4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5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6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"/>
    <w:uiPriority w:val="99"/>
    <w:qFormat/>
    <w:rPr>
      <w:lang w:eastAsia="zh-CN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9" w:customStyle="1">
    <w:name w:val="Текст сноски Знак"/>
    <w:link w:val="734"/>
    <w:uiPriority w:val="99"/>
    <w:qFormat/>
    <w:rPr>
      <w:sz w:val="18"/>
    </w:rPr>
  </w:style>
  <w:style w:type="character" w:styleId="930" w:customStyle="1">
    <w:name w:val="Текст концевой сноски Знак"/>
    <w:link w:val="732"/>
    <w:uiPriority w:val="99"/>
    <w:qFormat/>
    <w:rPr>
      <w:sz w:val="20"/>
    </w:rPr>
  </w:style>
  <w:style w:type="paragraph" w:styleId="931" w:customStyle="1">
    <w:name w:val="TOC Heading"/>
    <w:uiPriority w:val="39"/>
    <w:unhideWhenUsed/>
    <w:qFormat/>
    <w:rPr>
      <w:rFonts w:hint="default" w:ascii="Calibri" w:hAnsi="Calibri" w:eastAsia="Times New Roman" w:cs="Times New Roman"/>
      <w:lang w:val="ru-RU" w:eastAsia="zh-CN" w:bidi="ar-SA"/>
    </w:rPr>
  </w:style>
  <w:style w:type="paragraph" w:styleId="932" w:customStyle="1">
    <w:name w:val="ConsPlusNormal"/>
    <w:uiPriority w:val="0"/>
    <w:qFormat/>
    <w:pPr>
      <w:widowControl w:val="off"/>
    </w:pPr>
    <w:rPr>
      <w:rFonts w:hint="default" w:ascii="Arial" w:hAnsi="Arial" w:eastAsia="Times New Roman" w:cs="Arial"/>
      <w:sz w:val="16"/>
      <w:szCs w:val="16"/>
      <w:lang w:val="ru-RU" w:eastAsia="ru-RU" w:bidi="ar-SA"/>
    </w:rPr>
  </w:style>
  <w:style w:type="paragraph" w:styleId="933" w:customStyle="1">
    <w:name w:val="ConsPlusNonformat"/>
    <w:uiPriority w:val="99"/>
    <w:qFormat/>
    <w:pPr>
      <w:widowControl w:val="off"/>
    </w:pPr>
    <w:rPr>
      <w:rFonts w:hint="default" w:ascii="Courier New" w:hAnsi="Courier New" w:eastAsia="Times New Roman" w:cs="Courier New"/>
      <w:lang w:val="ru-RU" w:eastAsia="ru-RU" w:bidi="ar-SA"/>
    </w:rPr>
  </w:style>
  <w:style w:type="paragraph" w:styleId="934" w:customStyle="1">
    <w:name w:val="ConsPlusTitle"/>
    <w:uiPriority w:val="0"/>
    <w:qFormat/>
    <w:pPr>
      <w:ind w:firstLine="720"/>
      <w:jc w:val="both"/>
      <w:widowControl w:val="off"/>
    </w:pPr>
    <w:rPr>
      <w:rFonts w:hint="default"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35" w:customStyle="1">
    <w:name w:val="ConsPlusCell"/>
    <w:uiPriority w:val="99"/>
    <w:qFormat/>
    <w:pPr>
      <w:widowControl w:val="off"/>
    </w:pPr>
    <w:rPr>
      <w:rFonts w:hint="default" w:ascii="Courier New" w:hAnsi="Courier New" w:eastAsia="Times New Roman" w:cs="Courier New"/>
      <w:lang w:val="ru-RU" w:eastAsia="ru-RU" w:bidi="ar-SA"/>
    </w:rPr>
  </w:style>
  <w:style w:type="paragraph" w:styleId="936" w:customStyle="1">
    <w:name w:val="ConsPlusDocList"/>
    <w:uiPriority w:val="99"/>
    <w:qFormat/>
    <w:pPr>
      <w:widowControl w:val="off"/>
    </w:pPr>
    <w:rPr>
      <w:rFonts w:hint="default" w:ascii="Courier New" w:hAnsi="Courier New" w:eastAsia="Times New Roman" w:cs="Courier New"/>
      <w:sz w:val="16"/>
      <w:szCs w:val="16"/>
      <w:lang w:val="ru-RU" w:eastAsia="ru-RU" w:bidi="ar-SA"/>
    </w:rPr>
  </w:style>
  <w:style w:type="paragraph" w:styleId="937" w:customStyle="1">
    <w:name w:val="ConsPlusTitlePage"/>
    <w:uiPriority w:val="99"/>
    <w:qFormat/>
    <w:pPr>
      <w:widowControl w:val="off"/>
    </w:pPr>
    <w:rPr>
      <w:rFonts w:hint="default" w:ascii="Tahoma" w:hAnsi="Tahoma" w:eastAsia="Times New Roman" w:cs="Tahoma"/>
      <w:sz w:val="16"/>
      <w:szCs w:val="16"/>
      <w:lang w:val="ru-RU" w:eastAsia="ru-RU" w:bidi="ar-SA"/>
    </w:rPr>
  </w:style>
  <w:style w:type="paragraph" w:styleId="938" w:customStyle="1">
    <w:name w:val="ConsPlusJurTerm"/>
    <w:uiPriority w:val="99"/>
    <w:qFormat/>
    <w:pPr>
      <w:widowControl w:val="off"/>
    </w:pPr>
    <w:rPr>
      <w:rFonts w:hint="default" w:ascii="Tahoma" w:hAnsi="Tahoma" w:eastAsia="Times New Roman" w:cs="Tahoma"/>
      <w:sz w:val="26"/>
      <w:szCs w:val="26"/>
      <w:lang w:val="ru-RU" w:eastAsia="ru-RU" w:bidi="ar-SA"/>
    </w:rPr>
  </w:style>
  <w:style w:type="paragraph" w:styleId="939" w:customStyle="1">
    <w:name w:val="ConsPlusTextList"/>
    <w:uiPriority w:val="99"/>
    <w:qFormat/>
    <w:pPr>
      <w:widowControl w:val="off"/>
    </w:pPr>
    <w:rPr>
      <w:rFonts w:hint="default" w:ascii="Arial" w:hAnsi="Arial" w:eastAsia="Times New Roman" w:cs="Arial"/>
      <w:lang w:val="ru-RU" w:eastAsia="ru-RU" w:bidi="ar-SA"/>
    </w:rPr>
  </w:style>
  <w:style w:type="paragraph" w:styleId="940" w:customStyle="1">
    <w:name w:val="ConsPlusTextList1"/>
    <w:uiPriority w:val="99"/>
    <w:qFormat/>
    <w:pPr>
      <w:widowControl w:val="off"/>
    </w:pPr>
    <w:rPr>
      <w:rFonts w:hint="default" w:ascii="Arial" w:hAnsi="Arial" w:eastAsia="Times New Roman" w:cs="Arial"/>
      <w:lang w:val="ru-RU" w:eastAsia="ru-RU" w:bidi="ar-SA"/>
    </w:rPr>
  </w:style>
  <w:style w:type="character" w:styleId="941" w:customStyle="1">
    <w:name w:val="Верхний колонтитул Знак"/>
    <w:link w:val="736"/>
    <w:uiPriority w:val="99"/>
    <w:qFormat/>
    <w:rPr>
      <w:rFonts w:cs="Times New Roman"/>
    </w:rPr>
  </w:style>
  <w:style w:type="character" w:styleId="942" w:customStyle="1">
    <w:name w:val="Нижний колонтитул Знак"/>
    <w:link w:val="747"/>
    <w:uiPriority w:val="99"/>
    <w:qFormat/>
    <w:rPr>
      <w:rFonts w:cs="Times New Roman"/>
    </w:rPr>
  </w:style>
  <w:style w:type="character" w:styleId="943" w:customStyle="1">
    <w:name w:val="Текст выноски Знак"/>
    <w:link w:val="731"/>
    <w:uiPriority w:val="99"/>
    <w:semiHidden/>
    <w:qFormat/>
    <w:rPr>
      <w:rFonts w:ascii="Segoe UI" w:hAnsi="Segoe UI" w:cs="Segoe UI"/>
      <w:sz w:val="18"/>
      <w:szCs w:val="18"/>
    </w:rPr>
  </w:style>
  <w:style w:type="table" w:styleId="944" w:customStyle="1">
    <w:name w:val="Table Normal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45" w:customStyle="1">
    <w:name w:val="Table Paragraph"/>
    <w:basedOn w:val="716"/>
    <w:uiPriority w:val="1"/>
    <w:qFormat/>
    <w:pPr>
      <w:spacing w:after="0" w:line="240" w:lineRule="auto"/>
      <w:widowControl w:val="off"/>
    </w:pPr>
    <w:rPr>
      <w:rFonts w:ascii="Times New Roman" w:hAnsi="Times New Roman"/>
      <w:lang w:val="en-US" w:eastAsia="en-US"/>
    </w:rPr>
  </w:style>
  <w:style w:type="paragraph" w:styleId="946" w:customStyle="1">
    <w:name w:val="Заголовок 11"/>
    <w:uiPriority w:val="0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clear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  <w:suppressLineNumbers w:val="0"/>
    </w:pPr>
    <w:rPr>
      <w:rFonts w:hint="default" w:ascii="Times New Roman" w:hAnsi="Times New Roman" w:eastAsia="Times New Roman" w:cs="Times New Roman"/>
      <w:b/>
      <w:bCs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ru-RU" w:bidi="ar-SA"/>
      <w14:ligatures w14:val="none"/>
    </w:rPr>
  </w:style>
  <w:style w:type="numbering" w:styleId="947" w:default="1">
    <w:name w:val="No List"/>
    <w:uiPriority w:val="99"/>
    <w:semiHidden/>
    <w:unhideWhenUsed/>
  </w:style>
  <w:style w:type="paragraph" w:styleId="94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hyperlink" Target="https://login.consultant.ru/link/?req=doc&amp;base=RLAW426&amp;n=84271" TargetMode="External"/><Relationship Id="rId17" Type="http://schemas.openxmlformats.org/officeDocument/2006/relationships/hyperlink" Target="https://login.consultant.ru/link/?req=doc&amp;base=RLAW426&amp;n=84271" TargetMode="External"/><Relationship Id="rId18" Type="http://schemas.openxmlformats.org/officeDocument/2006/relationships/hyperlink" Target="https://login.consultant.ru/link/?req=doc&amp;base=LAW&amp;n=4526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9348-94EE-4360-9A4F-A303890B98B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4022.00.21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23.05.2022 N 205-пп(ред. от 15.09.2022)"Об утверждении государственной программы Еврейской автономной области "Здравоохранение в Еврейской автономной области" на 2022 - 2024 годы"</dc:title>
  <dc:creator>Трушина Наталья Владимировна</dc:creator>
  <cp:revision>152</cp:revision>
  <dcterms:created xsi:type="dcterms:W3CDTF">2023-02-27T06:04:00Z</dcterms:created>
  <dcterms:modified xsi:type="dcterms:W3CDTF">2023-12-14T01:39:57Z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605E20A7BDC245529941FC7CE179D88C</vt:lpwstr>
  </property>
</Properties>
</file>